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59" w:rsidRPr="00007C1F" w:rsidRDefault="00E41759" w:rsidP="003B55AB">
      <w:pPr>
        <w:jc w:val="center"/>
        <w:rPr>
          <w:rFonts w:cstheme="minorHAnsi"/>
          <w:b/>
          <w:sz w:val="28"/>
          <w:szCs w:val="28"/>
        </w:rPr>
      </w:pPr>
      <w:bookmarkStart w:id="0" w:name="_GoBack"/>
      <w:bookmarkEnd w:id="0"/>
      <w:r w:rsidRPr="00007C1F">
        <w:rPr>
          <w:rFonts w:cstheme="minorHAnsi"/>
          <w:b/>
          <w:sz w:val="28"/>
          <w:szCs w:val="28"/>
        </w:rPr>
        <w:t xml:space="preserve">Board </w:t>
      </w:r>
      <w:r w:rsidR="006E5078" w:rsidRPr="00007C1F">
        <w:rPr>
          <w:rFonts w:cstheme="minorHAnsi"/>
          <w:b/>
          <w:sz w:val="28"/>
          <w:szCs w:val="28"/>
        </w:rPr>
        <w:t xml:space="preserve">of Directors </w:t>
      </w:r>
      <w:r w:rsidRPr="00007C1F">
        <w:rPr>
          <w:rFonts w:cstheme="minorHAnsi"/>
          <w:b/>
          <w:sz w:val="28"/>
          <w:szCs w:val="28"/>
        </w:rPr>
        <w:t>Meeting</w:t>
      </w:r>
      <w:r w:rsidR="006E5078" w:rsidRPr="00007C1F">
        <w:rPr>
          <w:rFonts w:cstheme="minorHAnsi"/>
          <w:b/>
          <w:sz w:val="28"/>
          <w:szCs w:val="28"/>
        </w:rPr>
        <w:t xml:space="preserve"> Minutes</w:t>
      </w:r>
    </w:p>
    <w:p w:rsidR="00E41759" w:rsidRPr="00007C1F" w:rsidRDefault="00F605C4" w:rsidP="003B55AB">
      <w:pPr>
        <w:jc w:val="center"/>
        <w:rPr>
          <w:rFonts w:cstheme="minorHAnsi"/>
          <w:b/>
          <w:sz w:val="28"/>
          <w:szCs w:val="28"/>
        </w:rPr>
      </w:pPr>
      <w:r w:rsidRPr="007338C4">
        <w:rPr>
          <w:rFonts w:cstheme="minorHAnsi"/>
          <w:b/>
          <w:sz w:val="28"/>
          <w:szCs w:val="28"/>
        </w:rPr>
        <w:t>December 16</w:t>
      </w:r>
      <w:r w:rsidR="00810985" w:rsidRPr="007338C4">
        <w:rPr>
          <w:rFonts w:cstheme="minorHAnsi"/>
          <w:b/>
          <w:sz w:val="28"/>
          <w:szCs w:val="28"/>
        </w:rPr>
        <w:t>, 2021</w:t>
      </w:r>
    </w:p>
    <w:p w:rsidR="00E41759" w:rsidRPr="00007C1F" w:rsidRDefault="00E41759" w:rsidP="003B55AB">
      <w:pPr>
        <w:jc w:val="center"/>
        <w:rPr>
          <w:rFonts w:cstheme="minorHAnsi"/>
          <w:b/>
          <w:sz w:val="28"/>
          <w:szCs w:val="28"/>
        </w:rPr>
      </w:pPr>
      <w:r w:rsidRPr="00007C1F">
        <w:rPr>
          <w:rFonts w:cstheme="minorHAnsi"/>
          <w:b/>
          <w:sz w:val="28"/>
          <w:szCs w:val="28"/>
        </w:rPr>
        <w:t xml:space="preserve">10am to 12 Noon </w:t>
      </w:r>
      <w:r w:rsidR="006E5078" w:rsidRPr="00007C1F">
        <w:rPr>
          <w:rFonts w:cstheme="minorHAnsi"/>
          <w:b/>
          <w:sz w:val="28"/>
          <w:szCs w:val="28"/>
        </w:rPr>
        <w:t>E</w:t>
      </w:r>
      <w:r w:rsidRPr="00007C1F">
        <w:rPr>
          <w:rFonts w:cstheme="minorHAnsi"/>
          <w:b/>
          <w:sz w:val="28"/>
          <w:szCs w:val="28"/>
        </w:rPr>
        <w:t>ST</w:t>
      </w:r>
    </w:p>
    <w:p w:rsidR="004413CE" w:rsidRPr="006E5078" w:rsidRDefault="004413CE" w:rsidP="006E5078">
      <w:pPr>
        <w:rPr>
          <w:rFonts w:cstheme="minorHAnsi"/>
          <w:b/>
        </w:rPr>
      </w:pPr>
    </w:p>
    <w:p w:rsidR="00A94ED5" w:rsidRPr="00A94ED5" w:rsidRDefault="00F67724" w:rsidP="00A94ED5">
      <w:pPr>
        <w:rPr>
          <w:rFonts w:ascii="Arial" w:hAnsi="Arial" w:cs="Arial"/>
        </w:rPr>
      </w:pPr>
      <w:proofErr w:type="spellStart"/>
      <w:r>
        <w:rPr>
          <w:rFonts w:ascii="Arial" w:hAnsi="Arial" w:cs="Arial"/>
          <w:b/>
          <w:bCs/>
        </w:rPr>
        <w:t>I.</w:t>
      </w:r>
      <w:r w:rsidR="00A94ED5" w:rsidRPr="00A94ED5">
        <w:rPr>
          <w:rFonts w:ascii="Arial" w:hAnsi="Arial" w:cs="Arial"/>
          <w:b/>
          <w:bCs/>
        </w:rPr>
        <w:t>Welcome</w:t>
      </w:r>
      <w:proofErr w:type="spellEnd"/>
      <w:r w:rsidR="00A94ED5" w:rsidRPr="00A94ED5">
        <w:rPr>
          <w:rFonts w:ascii="Arial" w:hAnsi="Arial" w:cs="Arial"/>
          <w:b/>
          <w:bCs/>
        </w:rPr>
        <w:t>:</w:t>
      </w:r>
      <w:r w:rsidR="007338C4">
        <w:rPr>
          <w:rFonts w:ascii="Arial" w:hAnsi="Arial" w:cs="Arial"/>
          <w:b/>
          <w:bCs/>
        </w:rPr>
        <w:t xml:space="preserve"> </w:t>
      </w:r>
      <w:r w:rsidR="00A94ED5" w:rsidRPr="00A94ED5">
        <w:rPr>
          <w:rFonts w:ascii="Arial" w:hAnsi="Arial" w:cs="Arial"/>
        </w:rPr>
        <w:t>Ronald Pickett welcomed everyone to meeting.</w:t>
      </w:r>
    </w:p>
    <w:p w:rsidR="00A94ED5" w:rsidRPr="00A94ED5" w:rsidRDefault="00A94ED5" w:rsidP="00A94ED5">
      <w:pPr>
        <w:rPr>
          <w:rFonts w:ascii="Arial" w:hAnsi="Arial" w:cs="Arial"/>
          <w:b/>
          <w:bCs/>
        </w:rPr>
      </w:pPr>
    </w:p>
    <w:p w:rsidR="00A94ED5" w:rsidRPr="00A94ED5" w:rsidRDefault="00F67724" w:rsidP="00A94ED5">
      <w:pPr>
        <w:rPr>
          <w:rFonts w:ascii="Arial" w:hAnsi="Arial" w:cs="Arial"/>
          <w:b/>
          <w:bCs/>
        </w:rPr>
      </w:pPr>
      <w:r>
        <w:rPr>
          <w:rFonts w:ascii="Arial" w:hAnsi="Arial" w:cs="Arial"/>
          <w:b/>
          <w:bCs/>
        </w:rPr>
        <w:t xml:space="preserve">II. </w:t>
      </w:r>
      <w:r w:rsidR="00A94ED5" w:rsidRPr="00A94ED5">
        <w:rPr>
          <w:rFonts w:ascii="Arial" w:hAnsi="Arial" w:cs="Arial"/>
          <w:b/>
          <w:bCs/>
        </w:rPr>
        <w:t>Consent Agenda:</w:t>
      </w:r>
    </w:p>
    <w:p w:rsidR="00A94ED5" w:rsidRPr="00A94ED5" w:rsidRDefault="00A94ED5" w:rsidP="00A94ED5">
      <w:pPr>
        <w:rPr>
          <w:rFonts w:ascii="Arial" w:hAnsi="Arial" w:cs="Arial"/>
          <w:b/>
          <w:bCs/>
        </w:rPr>
      </w:pPr>
    </w:p>
    <w:p w:rsidR="00A94ED5" w:rsidRPr="00F67724" w:rsidRDefault="00A94ED5" w:rsidP="00F67724">
      <w:pPr>
        <w:pStyle w:val="ListParagraph"/>
        <w:numPr>
          <w:ilvl w:val="0"/>
          <w:numId w:val="24"/>
        </w:numPr>
        <w:rPr>
          <w:rFonts w:cs="Arial"/>
        </w:rPr>
      </w:pPr>
      <w:r w:rsidRPr="00F67724">
        <w:rPr>
          <w:rFonts w:cs="Arial"/>
        </w:rPr>
        <w:t>Motion made by</w:t>
      </w:r>
      <w:r w:rsidR="00C872BE">
        <w:rPr>
          <w:rFonts w:cs="Arial"/>
        </w:rPr>
        <w:t xml:space="preserve"> and </w:t>
      </w:r>
      <w:proofErr w:type="gramStart"/>
      <w:r w:rsidR="00C872BE">
        <w:rPr>
          <w:rFonts w:cs="Arial"/>
        </w:rPr>
        <w:t xml:space="preserve">seconded </w:t>
      </w:r>
      <w:r w:rsidRPr="00F67724">
        <w:rPr>
          <w:rFonts w:cs="Arial"/>
        </w:rPr>
        <w:t xml:space="preserve"> by</w:t>
      </w:r>
      <w:proofErr w:type="gramEnd"/>
      <w:r w:rsidRPr="00F67724">
        <w:rPr>
          <w:rFonts w:cs="Arial"/>
        </w:rPr>
        <w:t xml:space="preserve"> Bambi Smith.  Motion passed.</w:t>
      </w:r>
    </w:p>
    <w:p w:rsidR="00A94ED5" w:rsidRPr="00F67724" w:rsidRDefault="00A94ED5" w:rsidP="00A94ED5">
      <w:pPr>
        <w:rPr>
          <w:rFonts w:ascii="Arial" w:hAnsi="Arial" w:cs="Arial"/>
        </w:rPr>
      </w:pPr>
    </w:p>
    <w:p w:rsidR="00A94ED5" w:rsidRPr="00F67724" w:rsidRDefault="00A94ED5" w:rsidP="00F67724">
      <w:pPr>
        <w:pStyle w:val="ListParagraph"/>
        <w:numPr>
          <w:ilvl w:val="0"/>
          <w:numId w:val="24"/>
        </w:numPr>
        <w:rPr>
          <w:rFonts w:cs="Arial"/>
        </w:rPr>
      </w:pPr>
      <w:r w:rsidRPr="00F67724">
        <w:rPr>
          <w:rFonts w:cs="Arial"/>
        </w:rPr>
        <w:t>Annual Awards presented to staff members:</w:t>
      </w:r>
    </w:p>
    <w:p w:rsidR="00A94ED5" w:rsidRPr="00F67724" w:rsidRDefault="00A94ED5" w:rsidP="00A94ED5">
      <w:pPr>
        <w:rPr>
          <w:rFonts w:ascii="Arial" w:hAnsi="Arial" w:cs="Arial"/>
        </w:rPr>
      </w:pPr>
    </w:p>
    <w:p w:rsidR="00A94ED5" w:rsidRPr="00F67724" w:rsidRDefault="00A94ED5" w:rsidP="00F67724">
      <w:pPr>
        <w:ind w:left="720"/>
        <w:rPr>
          <w:rFonts w:ascii="Arial" w:hAnsi="Arial" w:cs="Arial"/>
        </w:rPr>
      </w:pPr>
      <w:r w:rsidRPr="00F67724">
        <w:rPr>
          <w:rFonts w:ascii="Arial" w:hAnsi="Arial" w:cs="Arial"/>
        </w:rPr>
        <w:t>Todd Gainey Administrative Employee of the Year.</w:t>
      </w:r>
    </w:p>
    <w:p w:rsidR="00A94ED5" w:rsidRPr="00F67724" w:rsidRDefault="00A94ED5" w:rsidP="00F67724">
      <w:pPr>
        <w:ind w:left="720"/>
        <w:rPr>
          <w:rFonts w:ascii="Arial" w:hAnsi="Arial" w:cs="Arial"/>
        </w:rPr>
      </w:pPr>
      <w:r w:rsidRPr="00F67724">
        <w:rPr>
          <w:rFonts w:ascii="Arial" w:hAnsi="Arial" w:cs="Arial"/>
        </w:rPr>
        <w:t>Natasha Peterman, Programmatic Employee of the Year.</w:t>
      </w:r>
    </w:p>
    <w:p w:rsidR="00A94ED5" w:rsidRPr="00F67724" w:rsidRDefault="00A94ED5" w:rsidP="00F67724">
      <w:pPr>
        <w:ind w:left="720"/>
        <w:rPr>
          <w:rFonts w:ascii="Arial" w:hAnsi="Arial" w:cs="Arial"/>
        </w:rPr>
      </w:pPr>
      <w:r w:rsidRPr="00F67724">
        <w:rPr>
          <w:rFonts w:ascii="Arial" w:hAnsi="Arial" w:cs="Arial"/>
        </w:rPr>
        <w:t xml:space="preserve">GAP </w:t>
      </w:r>
    </w:p>
    <w:p w:rsidR="00A94ED5" w:rsidRPr="00F67724" w:rsidRDefault="00A94ED5" w:rsidP="00A94ED5">
      <w:pPr>
        <w:rPr>
          <w:rFonts w:ascii="Arial" w:hAnsi="Arial" w:cs="Arial"/>
        </w:rPr>
      </w:pPr>
    </w:p>
    <w:p w:rsidR="00A94ED5" w:rsidRPr="00F67724" w:rsidRDefault="00A94ED5" w:rsidP="00F67724">
      <w:pPr>
        <w:pStyle w:val="ListParagraph"/>
        <w:numPr>
          <w:ilvl w:val="0"/>
          <w:numId w:val="24"/>
        </w:numPr>
        <w:rPr>
          <w:rFonts w:cs="Arial"/>
          <w:sz w:val="24"/>
          <w:szCs w:val="24"/>
        </w:rPr>
      </w:pPr>
      <w:r w:rsidRPr="00F67724">
        <w:rPr>
          <w:rFonts w:cs="Arial"/>
          <w:sz w:val="24"/>
          <w:szCs w:val="24"/>
        </w:rPr>
        <w:t>Board meeting scheduled discussed.  February Board meeting was moved to Tallahassee, Florida.</w:t>
      </w:r>
    </w:p>
    <w:p w:rsidR="00A94ED5" w:rsidRPr="00A94ED5" w:rsidRDefault="00A94ED5" w:rsidP="00A94ED5">
      <w:pPr>
        <w:rPr>
          <w:rFonts w:ascii="Arial" w:hAnsi="Arial" w:cs="Arial"/>
        </w:rPr>
      </w:pPr>
    </w:p>
    <w:p w:rsidR="00A94ED5" w:rsidRPr="00A94ED5" w:rsidRDefault="00F67724" w:rsidP="00A94ED5">
      <w:pPr>
        <w:rPr>
          <w:rFonts w:ascii="Arial" w:hAnsi="Arial" w:cs="Arial"/>
          <w:b/>
          <w:bCs/>
        </w:rPr>
      </w:pPr>
      <w:r>
        <w:rPr>
          <w:rFonts w:ascii="Arial" w:hAnsi="Arial" w:cs="Arial"/>
          <w:b/>
          <w:bCs/>
        </w:rPr>
        <w:t xml:space="preserve">III. </w:t>
      </w:r>
      <w:r w:rsidR="00A94ED5" w:rsidRPr="00A94ED5">
        <w:rPr>
          <w:rFonts w:ascii="Arial" w:hAnsi="Arial" w:cs="Arial"/>
          <w:b/>
          <w:bCs/>
        </w:rPr>
        <w:t>Review and Approval of Finance Committee Report</w:t>
      </w:r>
    </w:p>
    <w:p w:rsidR="00A94ED5" w:rsidRPr="00A94ED5" w:rsidRDefault="00A94ED5" w:rsidP="00A94ED5">
      <w:pPr>
        <w:rPr>
          <w:rFonts w:ascii="Arial" w:hAnsi="Arial" w:cs="Arial"/>
          <w:b/>
          <w:bCs/>
        </w:rPr>
      </w:pPr>
    </w:p>
    <w:p w:rsidR="00A94ED5" w:rsidRPr="00F67724" w:rsidRDefault="00A94ED5" w:rsidP="00F67724">
      <w:pPr>
        <w:pStyle w:val="ListParagraph"/>
        <w:numPr>
          <w:ilvl w:val="0"/>
          <w:numId w:val="25"/>
        </w:numPr>
        <w:rPr>
          <w:rFonts w:cs="Arial"/>
          <w:b/>
          <w:bCs/>
        </w:rPr>
      </w:pPr>
      <w:r w:rsidRPr="00F67724">
        <w:rPr>
          <w:rFonts w:cs="Arial"/>
          <w:b/>
          <w:bCs/>
        </w:rPr>
        <w:t>Budget to Actual</w:t>
      </w:r>
    </w:p>
    <w:p w:rsidR="00A94ED5" w:rsidRPr="00A94ED5" w:rsidRDefault="00A94ED5" w:rsidP="00A94ED5">
      <w:pPr>
        <w:rPr>
          <w:rFonts w:ascii="Arial" w:hAnsi="Arial" w:cs="Arial"/>
          <w:b/>
          <w:bCs/>
        </w:rPr>
      </w:pPr>
    </w:p>
    <w:p w:rsidR="00A94ED5" w:rsidRDefault="00A94ED5" w:rsidP="00F67724">
      <w:pPr>
        <w:ind w:left="360"/>
        <w:rPr>
          <w:rFonts w:ascii="Arial" w:hAnsi="Arial" w:cs="Arial"/>
        </w:rPr>
      </w:pPr>
      <w:r w:rsidRPr="00A94ED5">
        <w:rPr>
          <w:rFonts w:ascii="Arial" w:hAnsi="Arial" w:cs="Arial"/>
        </w:rPr>
        <w:t>CBC Budget to Actual as of October 31, 2021 indicates an overall deficit of $4.5 million that includes a $</w:t>
      </w:r>
      <w:r w:rsidRPr="00A94ED5">
        <w:rPr>
          <w:rFonts w:ascii="Arial" w:hAnsi="Arial" w:cs="Arial"/>
          <w:color w:val="1F497D"/>
        </w:rPr>
        <w:t>1.5</w:t>
      </w:r>
      <w:r w:rsidRPr="00A94ED5">
        <w:rPr>
          <w:rFonts w:ascii="Arial" w:hAnsi="Arial" w:cs="Arial"/>
        </w:rPr>
        <w:t xml:space="preserve"> million deficit associated with the implementation of the FFPSA.  NWFHN ha</w:t>
      </w:r>
      <w:r w:rsidRPr="00A94ED5">
        <w:rPr>
          <w:rFonts w:ascii="Arial" w:hAnsi="Arial" w:cs="Arial"/>
          <w:color w:val="1F497D"/>
        </w:rPr>
        <w:t>s</w:t>
      </w:r>
      <w:r w:rsidRPr="00A94ED5">
        <w:rPr>
          <w:rFonts w:ascii="Arial" w:hAnsi="Arial" w:cs="Arial"/>
        </w:rPr>
        <w:t xml:space="preserve"> applied to the Risk Pool for $1.5 million to assist with the offset of the implementation of FFPSA. </w:t>
      </w:r>
    </w:p>
    <w:p w:rsidR="007338C4" w:rsidRPr="00A94ED5" w:rsidRDefault="007338C4" w:rsidP="00A94ED5">
      <w:pPr>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NWFHN received the final DCF reconciliation for the 20/21 fiscal year and the final deficit ended at approximately $151,000.  This was down from the prior year deficit of approximately $800,000.</w:t>
      </w:r>
    </w:p>
    <w:p w:rsidR="00A94ED5" w:rsidRPr="00A94ED5" w:rsidRDefault="00F67724" w:rsidP="00F67724">
      <w:pPr>
        <w:tabs>
          <w:tab w:val="left" w:pos="1230"/>
        </w:tabs>
        <w:ind w:left="360"/>
        <w:rPr>
          <w:rFonts w:ascii="Arial" w:hAnsi="Arial" w:cs="Arial"/>
        </w:rPr>
      </w:pPr>
      <w:r>
        <w:rPr>
          <w:rFonts w:ascii="Arial" w:hAnsi="Arial" w:cs="Arial"/>
        </w:rPr>
        <w:tab/>
      </w:r>
    </w:p>
    <w:p w:rsidR="00A94ED5" w:rsidRPr="00A94ED5" w:rsidRDefault="00A94ED5" w:rsidP="00F67724">
      <w:pPr>
        <w:ind w:left="360"/>
        <w:rPr>
          <w:rFonts w:ascii="Arial" w:hAnsi="Arial" w:cs="Arial"/>
        </w:rPr>
      </w:pPr>
      <w:r w:rsidRPr="00A94ED5">
        <w:rPr>
          <w:rFonts w:ascii="Arial" w:hAnsi="Arial" w:cs="Arial"/>
        </w:rPr>
        <w:t>ME Budget to Actual as of October 31, 2021 indicates a surplus in administration of approximately $130,000 and an overall surplus of approximately $5.8 million.  NWFHN continues to receive additional funding from DCF for implementation of additional programs.    </w:t>
      </w:r>
    </w:p>
    <w:p w:rsidR="00A94ED5" w:rsidRPr="00A94ED5" w:rsidRDefault="00A94ED5" w:rsidP="00A94ED5">
      <w:pPr>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 xml:space="preserve">CBCIH Budget to Actual as of October 31, 2021 indicates a slight deficit.  The contract with CBCIH is changing and the Bonus structure will be changing to performance based in </w:t>
      </w:r>
      <w:r w:rsidRPr="00A94ED5">
        <w:rPr>
          <w:rFonts w:ascii="Arial" w:hAnsi="Arial" w:cs="Arial"/>
        </w:rPr>
        <w:lastRenderedPageBreak/>
        <w:t>the next fiscal year.  This change has not been fully investigated to determine impact and there may be no impact.  NWFHN typically receives $80k to $90k annually.  In addition, NWFHN receives $20k to $22k monthly.</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HHS Thrive and HHS Rise are cost reimbursement contracts and are anticipated to break even.</w:t>
      </w:r>
    </w:p>
    <w:p w:rsidR="00A94ED5" w:rsidRPr="00A94ED5" w:rsidRDefault="00A94ED5" w:rsidP="00A94ED5">
      <w:pPr>
        <w:rPr>
          <w:rFonts w:ascii="Arial" w:hAnsi="Arial" w:cs="Arial"/>
        </w:rPr>
      </w:pPr>
    </w:p>
    <w:p w:rsidR="00A94ED5" w:rsidRPr="00F67724" w:rsidRDefault="00A94ED5" w:rsidP="00F67724">
      <w:pPr>
        <w:pStyle w:val="ListParagraph"/>
        <w:numPr>
          <w:ilvl w:val="0"/>
          <w:numId w:val="25"/>
        </w:numPr>
        <w:rPr>
          <w:rFonts w:cs="Arial"/>
          <w:b/>
          <w:bCs/>
        </w:rPr>
      </w:pPr>
      <w:r w:rsidRPr="00F67724">
        <w:rPr>
          <w:rFonts w:cs="Arial"/>
          <w:b/>
          <w:bCs/>
        </w:rPr>
        <w:t>Working Budget Summary</w:t>
      </w:r>
    </w:p>
    <w:p w:rsidR="00A94ED5" w:rsidRPr="00A94ED5" w:rsidRDefault="00A94ED5" w:rsidP="00F67724">
      <w:pPr>
        <w:ind w:left="360"/>
        <w:rPr>
          <w:rFonts w:ascii="Arial" w:hAnsi="Arial" w:cs="Arial"/>
        </w:rPr>
      </w:pPr>
      <w:r w:rsidRPr="00A94ED5">
        <w:rPr>
          <w:rFonts w:ascii="Arial" w:hAnsi="Arial" w:cs="Arial"/>
        </w:rPr>
        <w:t>The working budget summary as of October 31, 2021 projected the following:</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CBC $4.3 million deficit</w:t>
      </w:r>
    </w:p>
    <w:p w:rsidR="00A94ED5" w:rsidRPr="00A94ED5" w:rsidRDefault="00A94ED5" w:rsidP="00F67724">
      <w:pPr>
        <w:ind w:left="360"/>
        <w:rPr>
          <w:rFonts w:ascii="Arial" w:hAnsi="Arial" w:cs="Arial"/>
        </w:rPr>
      </w:pPr>
      <w:r w:rsidRPr="00A94ED5">
        <w:rPr>
          <w:rFonts w:ascii="Arial" w:hAnsi="Arial" w:cs="Arial"/>
        </w:rPr>
        <w:t>ME $620,000 surplus</w:t>
      </w:r>
    </w:p>
    <w:p w:rsidR="00A94ED5" w:rsidRPr="00A94ED5" w:rsidRDefault="00A94ED5" w:rsidP="00F67724">
      <w:pPr>
        <w:ind w:left="360"/>
        <w:rPr>
          <w:rFonts w:ascii="Arial" w:hAnsi="Arial" w:cs="Arial"/>
        </w:rPr>
      </w:pPr>
      <w:r w:rsidRPr="00A94ED5">
        <w:rPr>
          <w:rFonts w:ascii="Arial" w:hAnsi="Arial" w:cs="Arial"/>
        </w:rPr>
        <w:t>CBCIH $21,000 deficit</w:t>
      </w:r>
    </w:p>
    <w:p w:rsidR="00A94ED5" w:rsidRPr="00A94ED5" w:rsidRDefault="00A94ED5" w:rsidP="00F67724">
      <w:pPr>
        <w:ind w:left="360"/>
        <w:rPr>
          <w:rFonts w:ascii="Arial" w:hAnsi="Arial" w:cs="Arial"/>
        </w:rPr>
      </w:pPr>
      <w:r w:rsidRPr="00A94ED5">
        <w:rPr>
          <w:rFonts w:ascii="Arial" w:hAnsi="Arial" w:cs="Arial"/>
        </w:rPr>
        <w:t>HHS Breakeven</w:t>
      </w:r>
    </w:p>
    <w:p w:rsidR="00A94ED5" w:rsidRPr="00A94ED5" w:rsidRDefault="00A94ED5" w:rsidP="00A94ED5">
      <w:pPr>
        <w:rPr>
          <w:rFonts w:ascii="Arial" w:hAnsi="Arial" w:cs="Arial"/>
        </w:rPr>
      </w:pPr>
    </w:p>
    <w:p w:rsidR="00A94ED5" w:rsidRPr="00F67724" w:rsidRDefault="00A94ED5" w:rsidP="00F67724">
      <w:pPr>
        <w:pStyle w:val="ListParagraph"/>
        <w:numPr>
          <w:ilvl w:val="0"/>
          <w:numId w:val="25"/>
        </w:numPr>
        <w:rPr>
          <w:rFonts w:cs="Arial"/>
          <w:b/>
          <w:bCs/>
        </w:rPr>
      </w:pPr>
      <w:r w:rsidRPr="00F67724">
        <w:rPr>
          <w:rFonts w:cs="Arial"/>
          <w:b/>
          <w:bCs/>
        </w:rPr>
        <w:t>Balance Sheets</w:t>
      </w:r>
    </w:p>
    <w:p w:rsidR="00A94ED5" w:rsidRPr="00A94ED5" w:rsidRDefault="00A94ED5" w:rsidP="00F67724">
      <w:pPr>
        <w:ind w:left="360"/>
        <w:rPr>
          <w:rFonts w:ascii="Arial" w:hAnsi="Arial" w:cs="Arial"/>
        </w:rPr>
      </w:pPr>
      <w:r w:rsidRPr="00A94ED5">
        <w:rPr>
          <w:rFonts w:ascii="Arial" w:hAnsi="Arial" w:cs="Arial"/>
        </w:rPr>
        <w:t>The balance sheet for NWFHN was presented and indicated sufficient cash and receivables.  Most of the cash balance is related to the CBC contract.</w:t>
      </w:r>
    </w:p>
    <w:p w:rsidR="00A94ED5" w:rsidRPr="00A94ED5" w:rsidRDefault="00A94ED5" w:rsidP="00F67724">
      <w:pPr>
        <w:ind w:left="360"/>
        <w:rPr>
          <w:rFonts w:ascii="Arial" w:hAnsi="Arial" w:cs="Arial"/>
        </w:rPr>
      </w:pPr>
      <w:r w:rsidRPr="00A94ED5">
        <w:rPr>
          <w:rFonts w:ascii="Arial" w:hAnsi="Arial" w:cs="Arial"/>
        </w:rPr>
        <w:t>The IV balance sheet was presented for NWFHN and has no substantial changes since previous submission.</w:t>
      </w:r>
    </w:p>
    <w:p w:rsidR="00A94ED5" w:rsidRPr="00A94ED5" w:rsidRDefault="00A94ED5" w:rsidP="00A94ED5">
      <w:pPr>
        <w:rPr>
          <w:rFonts w:ascii="Arial" w:hAnsi="Arial" w:cs="Arial"/>
        </w:rPr>
      </w:pPr>
    </w:p>
    <w:p w:rsidR="00A94ED5" w:rsidRPr="00A94ED5" w:rsidRDefault="00A94ED5" w:rsidP="00A94ED5">
      <w:pPr>
        <w:rPr>
          <w:rFonts w:ascii="Arial" w:hAnsi="Arial" w:cs="Arial"/>
        </w:rPr>
      </w:pPr>
    </w:p>
    <w:p w:rsidR="00A94ED5" w:rsidRPr="00F67724" w:rsidRDefault="00A94ED5" w:rsidP="00F67724">
      <w:pPr>
        <w:pStyle w:val="ListParagraph"/>
        <w:numPr>
          <w:ilvl w:val="0"/>
          <w:numId w:val="25"/>
        </w:numPr>
        <w:rPr>
          <w:rFonts w:cs="Arial"/>
          <w:b/>
          <w:bCs/>
        </w:rPr>
      </w:pPr>
      <w:r w:rsidRPr="00F67724">
        <w:rPr>
          <w:rFonts w:cs="Arial"/>
          <w:b/>
          <w:bCs/>
        </w:rPr>
        <w:t>Cost Of Living Increase</w:t>
      </w:r>
    </w:p>
    <w:p w:rsidR="00A94ED5" w:rsidRPr="00A94ED5" w:rsidRDefault="00A94ED5" w:rsidP="00F67724">
      <w:pPr>
        <w:ind w:left="360"/>
        <w:rPr>
          <w:rFonts w:ascii="Arial" w:hAnsi="Arial" w:cs="Arial"/>
        </w:rPr>
      </w:pPr>
      <w:r w:rsidRPr="00A94ED5">
        <w:rPr>
          <w:rFonts w:ascii="Arial" w:hAnsi="Arial" w:cs="Arial"/>
        </w:rPr>
        <w:t xml:space="preserve">Management proposed a cost of living increase for both NWFHN and NWFP based on tiers ranging from: </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$0 to $52,999 – 6.2%</w:t>
      </w:r>
    </w:p>
    <w:p w:rsidR="00A94ED5" w:rsidRPr="00A94ED5" w:rsidRDefault="00A94ED5" w:rsidP="00F67724">
      <w:pPr>
        <w:ind w:left="360"/>
        <w:rPr>
          <w:rFonts w:ascii="Arial" w:hAnsi="Arial" w:cs="Arial"/>
        </w:rPr>
      </w:pPr>
      <w:r w:rsidRPr="00A94ED5">
        <w:rPr>
          <w:rFonts w:ascii="Arial" w:hAnsi="Arial" w:cs="Arial"/>
        </w:rPr>
        <w:t>$53,000 to $72,999 – 5.3%</w:t>
      </w:r>
    </w:p>
    <w:p w:rsidR="00A94ED5" w:rsidRPr="00A94ED5" w:rsidRDefault="00A94ED5" w:rsidP="00F67724">
      <w:pPr>
        <w:ind w:left="360"/>
        <w:rPr>
          <w:rFonts w:ascii="Arial" w:hAnsi="Arial" w:cs="Arial"/>
        </w:rPr>
      </w:pPr>
      <w:r w:rsidRPr="00A94ED5">
        <w:rPr>
          <w:rFonts w:ascii="Arial" w:hAnsi="Arial" w:cs="Arial"/>
        </w:rPr>
        <w:t>$73,000 to $92,999 – 4.6%</w:t>
      </w:r>
    </w:p>
    <w:p w:rsidR="00A94ED5" w:rsidRPr="00A94ED5" w:rsidRDefault="00A94ED5" w:rsidP="00F67724">
      <w:pPr>
        <w:ind w:left="360"/>
        <w:rPr>
          <w:rFonts w:ascii="Arial" w:hAnsi="Arial" w:cs="Arial"/>
        </w:rPr>
      </w:pPr>
      <w:r w:rsidRPr="00A94ED5">
        <w:rPr>
          <w:rFonts w:ascii="Arial" w:hAnsi="Arial" w:cs="Arial"/>
        </w:rPr>
        <w:t>$93,000 and above – 3%</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Chief Executive Officer, Chief Operating Officer and Chief Financial Officer were excluded from these increases.</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 xml:space="preserve">The effective date of the increase will be December 27.  </w:t>
      </w:r>
    </w:p>
    <w:p w:rsidR="00A94ED5" w:rsidRPr="00A94ED5" w:rsidRDefault="00A94ED5" w:rsidP="00F67724">
      <w:pPr>
        <w:ind w:left="360"/>
        <w:rPr>
          <w:rFonts w:ascii="Arial" w:hAnsi="Arial" w:cs="Arial"/>
        </w:rPr>
      </w:pPr>
    </w:p>
    <w:p w:rsidR="00A94ED5" w:rsidRPr="00A94ED5" w:rsidRDefault="00A94ED5" w:rsidP="00F67724">
      <w:pPr>
        <w:ind w:left="360"/>
        <w:rPr>
          <w:rFonts w:ascii="Arial" w:hAnsi="Arial" w:cs="Arial"/>
        </w:rPr>
      </w:pPr>
      <w:r w:rsidRPr="00A94ED5">
        <w:rPr>
          <w:rFonts w:ascii="Arial" w:hAnsi="Arial" w:cs="Arial"/>
        </w:rPr>
        <w:t xml:space="preserve">To implement, Policy will also have to be amended to support a cost of living increase under extenuating circumstances.  </w:t>
      </w:r>
    </w:p>
    <w:p w:rsidR="00A94ED5" w:rsidRPr="00A94ED5" w:rsidRDefault="00A94ED5" w:rsidP="00F67724">
      <w:pPr>
        <w:ind w:left="360"/>
        <w:rPr>
          <w:rFonts w:ascii="Arial" w:hAnsi="Arial" w:cs="Arial"/>
          <w:b/>
          <w:bCs/>
        </w:rPr>
      </w:pPr>
    </w:p>
    <w:p w:rsidR="00A94ED5" w:rsidRPr="00A94ED5" w:rsidRDefault="00A94ED5" w:rsidP="00F67724">
      <w:pPr>
        <w:ind w:left="360"/>
        <w:rPr>
          <w:rFonts w:ascii="Arial" w:hAnsi="Arial" w:cs="Arial"/>
        </w:rPr>
      </w:pPr>
      <w:r w:rsidRPr="00C872BE">
        <w:rPr>
          <w:rFonts w:ascii="Arial" w:hAnsi="Arial" w:cs="Arial"/>
        </w:rPr>
        <w:t xml:space="preserve">Motion made </w:t>
      </w:r>
      <w:r w:rsidR="00C872BE" w:rsidRPr="00C872BE">
        <w:rPr>
          <w:rFonts w:ascii="Arial" w:hAnsi="Arial" w:cs="Arial"/>
        </w:rPr>
        <w:t xml:space="preserve">and seconded </w:t>
      </w:r>
      <w:r w:rsidRPr="00C872BE">
        <w:rPr>
          <w:rFonts w:ascii="Arial" w:hAnsi="Arial" w:cs="Arial"/>
        </w:rPr>
        <w:t xml:space="preserve">to approve financial </w:t>
      </w:r>
      <w:r w:rsidR="00C872BE">
        <w:rPr>
          <w:rFonts w:ascii="Arial" w:hAnsi="Arial" w:cs="Arial"/>
        </w:rPr>
        <w:t>report</w:t>
      </w:r>
      <w:r w:rsidR="00C872BE" w:rsidRPr="00C872BE">
        <w:rPr>
          <w:rFonts w:ascii="Arial" w:hAnsi="Arial" w:cs="Arial"/>
        </w:rPr>
        <w:t xml:space="preserve">. </w:t>
      </w:r>
      <w:r w:rsidRPr="00C872BE">
        <w:rPr>
          <w:rFonts w:ascii="Arial" w:hAnsi="Arial" w:cs="Arial"/>
        </w:rPr>
        <w:t>Motion passed.</w:t>
      </w:r>
    </w:p>
    <w:p w:rsidR="00A94ED5" w:rsidRPr="00A94ED5" w:rsidRDefault="00A94ED5" w:rsidP="00A94ED5">
      <w:pPr>
        <w:rPr>
          <w:rFonts w:ascii="Arial" w:hAnsi="Arial" w:cs="Arial"/>
        </w:rPr>
      </w:pPr>
    </w:p>
    <w:p w:rsidR="00A94ED5" w:rsidRPr="00A94ED5" w:rsidRDefault="00F67724" w:rsidP="00A94ED5">
      <w:pPr>
        <w:rPr>
          <w:rFonts w:ascii="Arial" w:hAnsi="Arial" w:cs="Arial"/>
          <w:b/>
          <w:bCs/>
        </w:rPr>
      </w:pPr>
      <w:r>
        <w:rPr>
          <w:rFonts w:ascii="Arial" w:hAnsi="Arial" w:cs="Arial"/>
          <w:b/>
          <w:bCs/>
        </w:rPr>
        <w:t xml:space="preserve">IV. </w:t>
      </w:r>
      <w:r w:rsidR="00A94ED5" w:rsidRPr="00A94ED5">
        <w:rPr>
          <w:rFonts w:ascii="Arial" w:hAnsi="Arial" w:cs="Arial"/>
          <w:b/>
          <w:bCs/>
        </w:rPr>
        <w:t>Strategic Discussions:</w:t>
      </w:r>
    </w:p>
    <w:p w:rsidR="00A94ED5" w:rsidRPr="00A94ED5" w:rsidRDefault="00A94ED5" w:rsidP="00A94ED5">
      <w:pPr>
        <w:rPr>
          <w:rFonts w:ascii="Arial" w:hAnsi="Arial" w:cs="Arial"/>
          <w:b/>
          <w:bCs/>
        </w:rPr>
      </w:pPr>
    </w:p>
    <w:p w:rsidR="00A94ED5" w:rsidRPr="00F67724" w:rsidRDefault="00A94ED5" w:rsidP="00F67724">
      <w:pPr>
        <w:pStyle w:val="ListParagraph"/>
        <w:numPr>
          <w:ilvl w:val="0"/>
          <w:numId w:val="26"/>
        </w:numPr>
        <w:rPr>
          <w:rFonts w:cs="Arial"/>
          <w:sz w:val="24"/>
          <w:szCs w:val="24"/>
        </w:rPr>
      </w:pPr>
      <w:proofErr w:type="gramStart"/>
      <w:r w:rsidRPr="00F67724">
        <w:rPr>
          <w:rFonts w:cs="Arial"/>
          <w:b/>
          <w:bCs/>
          <w:sz w:val="24"/>
          <w:szCs w:val="24"/>
        </w:rPr>
        <w:t>ITN  -</w:t>
      </w:r>
      <w:proofErr w:type="gramEnd"/>
      <w:r w:rsidRPr="00F67724">
        <w:rPr>
          <w:rFonts w:cs="Arial"/>
          <w:b/>
          <w:bCs/>
          <w:sz w:val="24"/>
          <w:szCs w:val="24"/>
        </w:rPr>
        <w:t xml:space="preserve"> </w:t>
      </w:r>
      <w:r w:rsidRPr="00F67724">
        <w:rPr>
          <w:rFonts w:cs="Arial"/>
          <w:sz w:val="24"/>
          <w:szCs w:val="24"/>
        </w:rPr>
        <w:t>In effect, NWFHN has been awarded the CBC contract.  Notice of intent to award will be posted 12/20/2022.  There will be a 72 hour cone of silence once posted and then the contract will need to be signed by December 31, 2021.  The two areas we continue to work with DCF on are Performance Measures and 2% Reserve.</w:t>
      </w:r>
    </w:p>
    <w:p w:rsidR="00A94ED5" w:rsidRPr="00F67724" w:rsidRDefault="00A94ED5" w:rsidP="00A94ED5">
      <w:pPr>
        <w:rPr>
          <w:rFonts w:ascii="Arial" w:hAnsi="Arial" w:cs="Arial"/>
        </w:rPr>
      </w:pPr>
    </w:p>
    <w:p w:rsidR="00A94ED5" w:rsidRPr="00F67724" w:rsidRDefault="00A94ED5" w:rsidP="00F67724">
      <w:pPr>
        <w:pStyle w:val="ListParagraph"/>
        <w:numPr>
          <w:ilvl w:val="0"/>
          <w:numId w:val="26"/>
        </w:numPr>
        <w:rPr>
          <w:rFonts w:cs="Arial"/>
          <w:b/>
          <w:bCs/>
          <w:sz w:val="24"/>
          <w:szCs w:val="24"/>
        </w:rPr>
      </w:pPr>
      <w:r w:rsidRPr="00F67724">
        <w:rPr>
          <w:rFonts w:cs="Arial"/>
          <w:b/>
          <w:bCs/>
          <w:sz w:val="24"/>
          <w:szCs w:val="24"/>
        </w:rPr>
        <w:t xml:space="preserve">COA Reaccreditation – </w:t>
      </w:r>
      <w:r w:rsidRPr="00F67724">
        <w:rPr>
          <w:rFonts w:cs="Arial"/>
          <w:sz w:val="24"/>
          <w:szCs w:val="24"/>
        </w:rPr>
        <w:t>COA Accreditation process will begin in the early part of 21/22.</w:t>
      </w:r>
    </w:p>
    <w:p w:rsidR="00A94ED5" w:rsidRPr="00F67724" w:rsidRDefault="00A94ED5" w:rsidP="00A94ED5">
      <w:pPr>
        <w:rPr>
          <w:rFonts w:ascii="Arial" w:hAnsi="Arial" w:cs="Arial"/>
        </w:rPr>
      </w:pPr>
    </w:p>
    <w:p w:rsidR="00A94ED5" w:rsidRPr="00F67724" w:rsidRDefault="00A94ED5" w:rsidP="00F67724">
      <w:pPr>
        <w:pStyle w:val="ListParagraph"/>
        <w:numPr>
          <w:ilvl w:val="0"/>
          <w:numId w:val="26"/>
        </w:numPr>
        <w:rPr>
          <w:rFonts w:cs="Arial"/>
          <w:sz w:val="24"/>
          <w:szCs w:val="24"/>
        </w:rPr>
      </w:pPr>
      <w:r w:rsidRPr="00F67724">
        <w:rPr>
          <w:rFonts w:cs="Arial"/>
          <w:b/>
          <w:bCs/>
          <w:sz w:val="24"/>
          <w:szCs w:val="24"/>
        </w:rPr>
        <w:t xml:space="preserve">ME Update – </w:t>
      </w:r>
      <w:r w:rsidRPr="00F67724">
        <w:rPr>
          <w:rFonts w:cs="Arial"/>
          <w:sz w:val="24"/>
          <w:szCs w:val="24"/>
        </w:rPr>
        <w:t>David Daniels discussed that there are a lot of new funds available and we are working diligently to move this funding out to our providers.  David recognized Crystal Gerry for certification.</w:t>
      </w:r>
    </w:p>
    <w:p w:rsidR="00A94ED5" w:rsidRPr="00F67724" w:rsidRDefault="00A94ED5" w:rsidP="00A94ED5">
      <w:pPr>
        <w:rPr>
          <w:rFonts w:ascii="Arial" w:hAnsi="Arial" w:cs="Arial"/>
          <w:b/>
          <w:bCs/>
        </w:rPr>
      </w:pPr>
    </w:p>
    <w:p w:rsidR="00A94ED5" w:rsidRPr="00F67724" w:rsidRDefault="00A94ED5" w:rsidP="00F67724">
      <w:pPr>
        <w:pStyle w:val="ListParagraph"/>
        <w:numPr>
          <w:ilvl w:val="0"/>
          <w:numId w:val="26"/>
        </w:numPr>
        <w:rPr>
          <w:rFonts w:cs="Arial"/>
          <w:sz w:val="24"/>
          <w:szCs w:val="24"/>
        </w:rPr>
      </w:pPr>
      <w:r w:rsidRPr="00F67724">
        <w:rPr>
          <w:rFonts w:cs="Arial"/>
          <w:b/>
          <w:bCs/>
          <w:sz w:val="24"/>
          <w:szCs w:val="24"/>
        </w:rPr>
        <w:t xml:space="preserve">Community Engagement – </w:t>
      </w:r>
      <w:r w:rsidRPr="00F67724">
        <w:rPr>
          <w:rFonts w:cs="Arial"/>
          <w:sz w:val="24"/>
          <w:szCs w:val="24"/>
        </w:rPr>
        <w:t>Marcia Mathis presented community engagement activities including November being National Adoption Month.  IL funding is a little short.  In need of gift cards for Christmas. Mike attended Dream Come True Event in Franklin County for ground breaking for a mental health facility.  Christmas Eve adoption for 3 families to occur on 12/24/2021 at Harrison Avenue location.  </w:t>
      </w:r>
    </w:p>
    <w:p w:rsidR="00A94ED5" w:rsidRPr="00F67724" w:rsidRDefault="00A94ED5" w:rsidP="00A94ED5">
      <w:pPr>
        <w:rPr>
          <w:rFonts w:ascii="Arial" w:hAnsi="Arial" w:cs="Arial"/>
        </w:rPr>
      </w:pPr>
    </w:p>
    <w:p w:rsidR="00A94ED5" w:rsidRPr="00F67724" w:rsidRDefault="00A94ED5" w:rsidP="00F67724">
      <w:pPr>
        <w:pStyle w:val="ListParagraph"/>
        <w:numPr>
          <w:ilvl w:val="0"/>
          <w:numId w:val="26"/>
        </w:numPr>
        <w:rPr>
          <w:rFonts w:cs="Arial"/>
          <w:b/>
          <w:bCs/>
          <w:sz w:val="24"/>
          <w:szCs w:val="24"/>
        </w:rPr>
      </w:pPr>
      <w:r w:rsidRPr="00F67724">
        <w:rPr>
          <w:rFonts w:cs="Arial"/>
          <w:sz w:val="24"/>
          <w:szCs w:val="24"/>
        </w:rPr>
        <w:t xml:space="preserve">All staff is being planned for 1/22/2021.  </w:t>
      </w:r>
    </w:p>
    <w:p w:rsidR="00A94ED5" w:rsidRPr="00A94ED5" w:rsidRDefault="00A94ED5" w:rsidP="00A94ED5">
      <w:pPr>
        <w:rPr>
          <w:rFonts w:ascii="Arial" w:hAnsi="Arial" w:cs="Arial"/>
          <w:b/>
          <w:bCs/>
        </w:rPr>
      </w:pPr>
    </w:p>
    <w:p w:rsidR="00A94ED5" w:rsidRDefault="00F67724" w:rsidP="00A94ED5">
      <w:pPr>
        <w:rPr>
          <w:rFonts w:ascii="Arial" w:hAnsi="Arial" w:cs="Arial"/>
          <w:b/>
          <w:bCs/>
        </w:rPr>
      </w:pPr>
      <w:r>
        <w:rPr>
          <w:rFonts w:ascii="Arial" w:hAnsi="Arial" w:cs="Arial"/>
          <w:b/>
          <w:bCs/>
        </w:rPr>
        <w:t xml:space="preserve">V. </w:t>
      </w:r>
      <w:r w:rsidR="00A94ED5" w:rsidRPr="00A94ED5">
        <w:rPr>
          <w:rFonts w:ascii="Arial" w:hAnsi="Arial" w:cs="Arial"/>
          <w:b/>
          <w:bCs/>
        </w:rPr>
        <w:t>Review Risk Management:</w:t>
      </w:r>
    </w:p>
    <w:p w:rsidR="00F67724" w:rsidRPr="00F67724" w:rsidRDefault="00F67724" w:rsidP="00A94ED5">
      <w:pPr>
        <w:rPr>
          <w:rFonts w:ascii="Arial" w:hAnsi="Arial" w:cs="Arial"/>
          <w:b/>
          <w:bCs/>
        </w:rPr>
      </w:pPr>
    </w:p>
    <w:p w:rsidR="00A94ED5" w:rsidRPr="00F67724" w:rsidRDefault="00F67724" w:rsidP="00F67724">
      <w:pPr>
        <w:pStyle w:val="ListParagraph"/>
        <w:numPr>
          <w:ilvl w:val="0"/>
          <w:numId w:val="20"/>
        </w:numPr>
        <w:rPr>
          <w:rFonts w:cs="Arial"/>
          <w:b/>
          <w:bCs/>
          <w:sz w:val="24"/>
          <w:szCs w:val="24"/>
        </w:rPr>
      </w:pPr>
      <w:r w:rsidRPr="00F67724">
        <w:rPr>
          <w:rFonts w:cs="Arial"/>
          <w:b/>
          <w:bCs/>
          <w:sz w:val="24"/>
          <w:szCs w:val="24"/>
        </w:rPr>
        <w:t xml:space="preserve"> </w:t>
      </w:r>
      <w:r w:rsidR="00A94ED5" w:rsidRPr="00F67724">
        <w:rPr>
          <w:rFonts w:cs="Arial"/>
          <w:b/>
          <w:bCs/>
          <w:sz w:val="24"/>
          <w:szCs w:val="24"/>
        </w:rPr>
        <w:t xml:space="preserve">Executive Legislative:  </w:t>
      </w:r>
      <w:r w:rsidR="00A94ED5" w:rsidRPr="00F67724">
        <w:rPr>
          <w:rFonts w:cs="Arial"/>
          <w:sz w:val="24"/>
          <w:szCs w:val="24"/>
        </w:rPr>
        <w:t>Legislative Session begins</w:t>
      </w:r>
      <w:r w:rsidR="00A94ED5" w:rsidRPr="00F67724">
        <w:rPr>
          <w:rFonts w:cs="Arial"/>
          <w:b/>
          <w:bCs/>
          <w:sz w:val="24"/>
          <w:szCs w:val="24"/>
        </w:rPr>
        <w:t xml:space="preserve"> </w:t>
      </w:r>
      <w:r w:rsidR="00A94ED5" w:rsidRPr="00F67724">
        <w:rPr>
          <w:rFonts w:cs="Arial"/>
          <w:sz w:val="24"/>
          <w:szCs w:val="24"/>
        </w:rPr>
        <w:t>January 11, 2022.</w:t>
      </w:r>
    </w:p>
    <w:p w:rsidR="00A94ED5" w:rsidRPr="00F67724" w:rsidRDefault="00A94ED5" w:rsidP="00A94ED5">
      <w:pPr>
        <w:pStyle w:val="ListParagraph"/>
        <w:numPr>
          <w:ilvl w:val="0"/>
          <w:numId w:val="20"/>
        </w:numPr>
        <w:jc w:val="left"/>
        <w:rPr>
          <w:rFonts w:cs="Arial"/>
          <w:b/>
          <w:bCs/>
          <w:sz w:val="24"/>
          <w:szCs w:val="24"/>
        </w:rPr>
      </w:pPr>
      <w:r w:rsidRPr="00F67724">
        <w:rPr>
          <w:rFonts w:cs="Arial"/>
          <w:b/>
          <w:bCs/>
          <w:sz w:val="24"/>
          <w:szCs w:val="24"/>
        </w:rPr>
        <w:t xml:space="preserve">Legal:  </w:t>
      </w:r>
      <w:r w:rsidRPr="00F67724">
        <w:rPr>
          <w:rFonts w:cs="Arial"/>
          <w:sz w:val="24"/>
          <w:szCs w:val="24"/>
        </w:rPr>
        <w:t>New contract with a vendor X2Ai.  Only bidder for text for mental health services to teens. Mike recused himself due to conflict of interest.</w:t>
      </w:r>
    </w:p>
    <w:p w:rsidR="00A94ED5" w:rsidRPr="00A94ED5" w:rsidRDefault="00A94ED5" w:rsidP="00A94ED5">
      <w:pPr>
        <w:rPr>
          <w:rFonts w:ascii="Arial" w:hAnsi="Arial" w:cs="Arial"/>
          <w:b/>
          <w:bCs/>
        </w:rPr>
      </w:pPr>
    </w:p>
    <w:p w:rsidR="00A94ED5" w:rsidRPr="00A94ED5" w:rsidRDefault="00F67724" w:rsidP="00A94ED5">
      <w:pPr>
        <w:rPr>
          <w:rFonts w:ascii="Arial" w:hAnsi="Arial" w:cs="Arial"/>
          <w:b/>
          <w:bCs/>
        </w:rPr>
      </w:pPr>
      <w:r w:rsidRPr="00C872BE">
        <w:rPr>
          <w:rFonts w:ascii="Arial" w:hAnsi="Arial" w:cs="Arial"/>
          <w:b/>
          <w:bCs/>
        </w:rPr>
        <w:t xml:space="preserve">VI. </w:t>
      </w:r>
      <w:r w:rsidR="00A94ED5" w:rsidRPr="00C872BE">
        <w:rPr>
          <w:rFonts w:ascii="Arial" w:hAnsi="Arial" w:cs="Arial"/>
          <w:b/>
          <w:bCs/>
        </w:rPr>
        <w:t>Review Governance:</w:t>
      </w:r>
    </w:p>
    <w:p w:rsidR="00A94ED5" w:rsidRPr="00A94ED5" w:rsidRDefault="00C872BE" w:rsidP="00A94ED5">
      <w:pPr>
        <w:pStyle w:val="ListParagraph"/>
        <w:numPr>
          <w:ilvl w:val="0"/>
          <w:numId w:val="21"/>
        </w:numPr>
        <w:jc w:val="left"/>
        <w:rPr>
          <w:rFonts w:cs="Arial"/>
          <w:b/>
          <w:bCs/>
          <w:sz w:val="24"/>
          <w:szCs w:val="24"/>
        </w:rPr>
      </w:pPr>
      <w:r>
        <w:rPr>
          <w:rFonts w:cs="Arial"/>
          <w:b/>
          <w:bCs/>
          <w:sz w:val="24"/>
          <w:szCs w:val="24"/>
        </w:rPr>
        <w:t>Discussed current governance.</w:t>
      </w:r>
    </w:p>
    <w:p w:rsidR="00A94ED5" w:rsidRPr="00A94ED5" w:rsidRDefault="00A94ED5" w:rsidP="00A94ED5">
      <w:pPr>
        <w:rPr>
          <w:rFonts w:ascii="Arial" w:hAnsi="Arial" w:cs="Arial"/>
          <w:b/>
          <w:bCs/>
        </w:rPr>
      </w:pPr>
    </w:p>
    <w:p w:rsidR="00A94ED5" w:rsidRPr="00A94ED5" w:rsidRDefault="00F67724" w:rsidP="00A94ED5">
      <w:pPr>
        <w:rPr>
          <w:rFonts w:ascii="Arial" w:hAnsi="Arial" w:cs="Arial"/>
          <w:b/>
          <w:bCs/>
        </w:rPr>
      </w:pPr>
      <w:r>
        <w:rPr>
          <w:rFonts w:ascii="Arial" w:hAnsi="Arial" w:cs="Arial"/>
          <w:b/>
          <w:bCs/>
        </w:rPr>
        <w:t xml:space="preserve">VII. </w:t>
      </w:r>
      <w:r w:rsidR="00A94ED5" w:rsidRPr="00A94ED5">
        <w:rPr>
          <w:rFonts w:ascii="Arial" w:hAnsi="Arial" w:cs="Arial"/>
          <w:b/>
          <w:bCs/>
        </w:rPr>
        <w:t>Meeting adjourned.</w:t>
      </w:r>
    </w:p>
    <w:p w:rsidR="00A94ED5" w:rsidRPr="00A94ED5" w:rsidRDefault="00A94ED5" w:rsidP="00A94ED5">
      <w:pPr>
        <w:rPr>
          <w:rFonts w:ascii="Arial" w:hAnsi="Arial" w:cs="Arial"/>
          <w:b/>
          <w:bCs/>
        </w:rPr>
      </w:pPr>
    </w:p>
    <w:p w:rsidR="00C76022" w:rsidRPr="00A94ED5" w:rsidRDefault="000F4031" w:rsidP="00A94ED5">
      <w:pPr>
        <w:rPr>
          <w:rFonts w:ascii="Arial" w:hAnsi="Arial" w:cs="Arial"/>
        </w:rPr>
      </w:pPr>
    </w:p>
    <w:sectPr w:rsidR="00C76022" w:rsidRPr="00A94ED5" w:rsidSect="00F42946">
      <w:headerReference w:type="default" r:id="rId7"/>
      <w:footerReference w:type="even" r:id="rId8"/>
      <w:footerReference w:type="default" r:id="rId9"/>
      <w:headerReference w:type="first" r:id="rId10"/>
      <w:footerReference w:type="first" r:id="rId11"/>
      <w:pgSz w:w="12240" w:h="15840"/>
      <w:pgMar w:top="1440" w:right="1152" w:bottom="1152" w:left="1152"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31" w:rsidRDefault="000F4031" w:rsidP="00693195">
      <w:r>
        <w:separator/>
      </w:r>
    </w:p>
  </w:endnote>
  <w:endnote w:type="continuationSeparator" w:id="0">
    <w:p w:rsidR="000F4031" w:rsidRDefault="000F4031"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AB" w:rsidRDefault="003B55AB" w:rsidP="003B55AB">
    <w:pPr>
      <w:pStyle w:val="Footer"/>
      <w:jc w:val="right"/>
    </w:pPr>
  </w:p>
  <w:p w:rsidR="003B55AB" w:rsidRDefault="003B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BD" w:rsidRPr="00693195" w:rsidRDefault="004912BD" w:rsidP="00810985">
    <w:pPr>
      <w:pStyle w:val="Footer"/>
      <w:spacing w:line="360" w:lineRule="auto"/>
      <w:jc w:val="center"/>
      <w:rPr>
        <w:rFonts w:ascii="Georgia" w:hAnsi="Georg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85" w:rsidRDefault="00810985" w:rsidP="00810985">
    <w:pPr>
      <w:pStyle w:val="Footer"/>
      <w:spacing w:line="360" w:lineRule="auto"/>
      <w:jc w:val="center"/>
      <w:rPr>
        <w:rFonts w:ascii="Georgia" w:hAnsi="Georgia"/>
      </w:rPr>
    </w:pPr>
    <w:r>
      <w:rPr>
        <w:noProof/>
      </w:rPr>
      <mc:AlternateContent>
        <mc:Choice Requires="wps">
          <w:drawing>
            <wp:anchor distT="0" distB="0" distL="114300" distR="114300" simplePos="0" relativeHeight="251661312" behindDoc="0" locked="0" layoutInCell="1" allowOverlap="1" wp14:anchorId="1ED5B918" wp14:editId="082A9F05">
              <wp:simplePos x="0" y="0"/>
              <wp:positionH relativeFrom="margin">
                <wp:align>center</wp:align>
              </wp:positionH>
              <wp:positionV relativeFrom="paragraph">
                <wp:posOffset>209890</wp:posOffset>
              </wp:positionV>
              <wp:extent cx="5379395" cy="8484"/>
              <wp:effectExtent l="0" t="0" r="31115" b="29845"/>
              <wp:wrapNone/>
              <wp:docPr id="2" name="Straight Connector 2"/>
              <wp:cNvGraphicFramePr/>
              <a:graphic xmlns:a="http://schemas.openxmlformats.org/drawingml/2006/main">
                <a:graphicData uri="http://schemas.microsoft.com/office/word/2010/wordprocessingShape">
                  <wps:wsp>
                    <wps:cNvCnPr/>
                    <wps:spPr>
                      <a:xfrm flipV="1">
                        <a:off x="0" y="0"/>
                        <a:ext cx="5379395" cy="8484"/>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DACD8"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55pt" to="423.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" strokecolor="#3f78b0" strokeweight="1pt">
              <v:stroke joinstyle="miter"/>
              <w10:wrap anchorx="margin"/>
            </v:line>
          </w:pict>
        </mc:Fallback>
      </mc:AlternateContent>
    </w:r>
  </w:p>
  <w:p w:rsidR="00810985" w:rsidRPr="00693195" w:rsidRDefault="00810985" w:rsidP="00810985">
    <w:pPr>
      <w:pStyle w:val="Footer"/>
      <w:spacing w:line="360" w:lineRule="auto"/>
      <w:jc w:val="center"/>
      <w:rPr>
        <w:rFonts w:ascii="Georgia" w:hAnsi="Georgia"/>
      </w:rPr>
    </w:pPr>
    <w:r w:rsidRPr="00693195">
      <w:rPr>
        <w:rFonts w:ascii="Georgia" w:hAnsi="Georgia"/>
      </w:rPr>
      <w:t xml:space="preserve">525 N. Martin Luther King Jr. Blvd </w:t>
    </w:r>
    <w:r w:rsidRPr="00361897">
      <w:rPr>
        <w:rFonts w:ascii="Georgia" w:hAnsi="Georgia"/>
        <w:b/>
        <w:bCs/>
      </w:rPr>
      <w:t>|</w:t>
    </w:r>
    <w:r w:rsidRPr="00693195">
      <w:rPr>
        <w:rFonts w:ascii="Georgia" w:hAnsi="Georgia"/>
      </w:rPr>
      <w:t xml:space="preserve"> Tallahassee, FL 32301 </w:t>
    </w:r>
    <w:r w:rsidRPr="00361897">
      <w:rPr>
        <w:rFonts w:ascii="Georgia" w:hAnsi="Georgia"/>
        <w:b/>
        <w:bCs/>
      </w:rPr>
      <w:t>|</w:t>
    </w:r>
    <w:r w:rsidRPr="00693195">
      <w:rPr>
        <w:rFonts w:ascii="Georgia" w:hAnsi="Georgia"/>
      </w:rPr>
      <w:t xml:space="preserve"> 850-410-1020</w:t>
    </w:r>
  </w:p>
  <w:p w:rsidR="00810985" w:rsidRPr="00693195" w:rsidRDefault="00810985" w:rsidP="00810985">
    <w:pPr>
      <w:pStyle w:val="Footer"/>
      <w:spacing w:line="360" w:lineRule="auto"/>
      <w:jc w:val="center"/>
      <w:rPr>
        <w:rFonts w:ascii="Georgia" w:hAnsi="Georgia"/>
      </w:rPr>
    </w:pPr>
    <w:r w:rsidRPr="00693195">
      <w:rPr>
        <w:rFonts w:ascii="Georgia" w:hAnsi="Georgia"/>
      </w:rPr>
      <w:t>NWFHealth</w:t>
    </w:r>
    <w:r>
      <w:rPr>
        <w:rFonts w:ascii="Georgia" w:hAnsi="Georgia"/>
      </w:rPr>
      <w:t>.org</w:t>
    </w:r>
  </w:p>
  <w:p w:rsidR="000E0563" w:rsidRPr="000E0563" w:rsidRDefault="000E0563" w:rsidP="008109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31" w:rsidRDefault="000F4031" w:rsidP="00693195">
      <w:r>
        <w:separator/>
      </w:r>
    </w:p>
  </w:footnote>
  <w:footnote w:type="continuationSeparator" w:id="0">
    <w:p w:rsidR="000F4031" w:rsidRDefault="000F4031" w:rsidP="0069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95" w:rsidRDefault="00693195" w:rsidP="006931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16" w:rsidRDefault="00212A16" w:rsidP="00212A16">
    <w:pPr>
      <w:pStyle w:val="Header"/>
      <w:jc w:val="center"/>
    </w:pPr>
  </w:p>
  <w:p w:rsidR="00212A16" w:rsidRDefault="00212A16" w:rsidP="00212A16">
    <w:pPr>
      <w:pStyle w:val="Header"/>
      <w:jc w:val="center"/>
    </w:pPr>
    <w:r>
      <w:rPr>
        <w:noProof/>
      </w:rPr>
      <w:drawing>
        <wp:inline distT="0" distB="0" distL="0" distR="0" wp14:anchorId="64170FB9" wp14:editId="63C30F7C">
          <wp:extent cx="2709747" cy="602165"/>
          <wp:effectExtent l="0" t="0" r="0" b="762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3505" cy="616333"/>
                  </a:xfrm>
                  <a:prstGeom prst="rect">
                    <a:avLst/>
                  </a:prstGeom>
                </pic:spPr>
              </pic:pic>
            </a:graphicData>
          </a:graphic>
        </wp:inline>
      </w:drawing>
    </w:r>
  </w:p>
  <w:p w:rsidR="00212A16" w:rsidRDefault="00212A16" w:rsidP="00212A16">
    <w:pPr>
      <w:pStyle w:val="Header"/>
      <w:jc w:val="center"/>
    </w:pPr>
    <w:r>
      <w:rPr>
        <w:noProof/>
      </w:rPr>
      <mc:AlternateContent>
        <mc:Choice Requires="wps">
          <w:drawing>
            <wp:anchor distT="0" distB="0" distL="114300" distR="114300" simplePos="0" relativeHeight="251659264" behindDoc="0" locked="0" layoutInCell="1" allowOverlap="1" wp14:anchorId="4D35FBBC" wp14:editId="2B074685">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E39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rsidR="00212A16" w:rsidRDefault="0021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3C5"/>
    <w:multiLevelType w:val="hybridMultilevel"/>
    <w:tmpl w:val="063EC966"/>
    <w:lvl w:ilvl="0" w:tplc="EDC4F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21E"/>
    <w:multiLevelType w:val="hybridMultilevel"/>
    <w:tmpl w:val="25046A16"/>
    <w:lvl w:ilvl="0" w:tplc="06846C7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953E70"/>
    <w:multiLevelType w:val="hybridMultilevel"/>
    <w:tmpl w:val="E94E1ABC"/>
    <w:lvl w:ilvl="0" w:tplc="343C72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1D6144"/>
    <w:multiLevelType w:val="hybridMultilevel"/>
    <w:tmpl w:val="D9B2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37E82"/>
    <w:multiLevelType w:val="hybridMultilevel"/>
    <w:tmpl w:val="1E7AA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31CB5"/>
    <w:multiLevelType w:val="hybridMultilevel"/>
    <w:tmpl w:val="0C2C78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9351E5"/>
    <w:multiLevelType w:val="hybridMultilevel"/>
    <w:tmpl w:val="644AC0C8"/>
    <w:lvl w:ilvl="0" w:tplc="374E3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82BD7"/>
    <w:multiLevelType w:val="hybridMultilevel"/>
    <w:tmpl w:val="7E98F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65B9A"/>
    <w:multiLevelType w:val="hybridMultilevel"/>
    <w:tmpl w:val="0F1CF4A0"/>
    <w:lvl w:ilvl="0" w:tplc="02A861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55E62"/>
    <w:multiLevelType w:val="hybridMultilevel"/>
    <w:tmpl w:val="B0949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776BE"/>
    <w:multiLevelType w:val="hybridMultilevel"/>
    <w:tmpl w:val="2174A846"/>
    <w:lvl w:ilvl="0" w:tplc="B0C4E9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573E5"/>
    <w:multiLevelType w:val="hybridMultilevel"/>
    <w:tmpl w:val="292CC990"/>
    <w:lvl w:ilvl="0" w:tplc="54C469D0">
      <w:start w:val="1"/>
      <w:numFmt w:val="upperLetter"/>
      <w:lvlText w:val="%1."/>
      <w:lvlJc w:val="left"/>
      <w:pPr>
        <w:ind w:left="765" w:hanging="360"/>
      </w:pPr>
      <w:rPr>
        <w:rFonts w:asciiTheme="minorHAnsi" w:eastAsiaTheme="minorHAnsi" w:hAnsiTheme="minorHAnsi"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54790E"/>
    <w:multiLevelType w:val="hybridMultilevel"/>
    <w:tmpl w:val="DDA80F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9277C6"/>
    <w:multiLevelType w:val="hybridMultilevel"/>
    <w:tmpl w:val="5DB201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5EBB"/>
    <w:multiLevelType w:val="hybridMultilevel"/>
    <w:tmpl w:val="9D902A06"/>
    <w:lvl w:ilvl="0" w:tplc="D19A8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24ED8"/>
    <w:multiLevelType w:val="hybridMultilevel"/>
    <w:tmpl w:val="7428A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10B26"/>
    <w:multiLevelType w:val="hybridMultilevel"/>
    <w:tmpl w:val="3496CEA4"/>
    <w:lvl w:ilvl="0" w:tplc="B4C0B48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677E1"/>
    <w:multiLevelType w:val="hybridMultilevel"/>
    <w:tmpl w:val="A2C4E7F6"/>
    <w:lvl w:ilvl="0" w:tplc="E08613C4">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671C6E50"/>
    <w:multiLevelType w:val="hybridMultilevel"/>
    <w:tmpl w:val="EFE4BD72"/>
    <w:lvl w:ilvl="0" w:tplc="E78EE4E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2F01EB"/>
    <w:multiLevelType w:val="hybridMultilevel"/>
    <w:tmpl w:val="9F86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6513BB"/>
    <w:multiLevelType w:val="hybridMultilevel"/>
    <w:tmpl w:val="33281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F5C69"/>
    <w:multiLevelType w:val="hybridMultilevel"/>
    <w:tmpl w:val="C188F64C"/>
    <w:lvl w:ilvl="0" w:tplc="947A7724">
      <w:start w:val="15"/>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E328AE"/>
    <w:multiLevelType w:val="hybridMultilevel"/>
    <w:tmpl w:val="FE908E9E"/>
    <w:lvl w:ilvl="0" w:tplc="B6A0C45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7EC511C5"/>
    <w:multiLevelType w:val="hybridMultilevel"/>
    <w:tmpl w:val="0ADCD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6D4038"/>
    <w:multiLevelType w:val="hybridMultilevel"/>
    <w:tmpl w:val="C846C35C"/>
    <w:lvl w:ilvl="0" w:tplc="374E3062">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2"/>
  </w:num>
  <w:num w:numId="10">
    <w:abstractNumId w:val="6"/>
  </w:num>
  <w:num w:numId="11">
    <w:abstractNumId w:val="24"/>
  </w:num>
  <w:num w:numId="12">
    <w:abstractNumId w:val="19"/>
  </w:num>
  <w:num w:numId="13">
    <w:abstractNumId w:val="19"/>
  </w:num>
  <w:num w:numId="14">
    <w:abstractNumId w:val="20"/>
  </w:num>
  <w:num w:numId="15">
    <w:abstractNumId w:val="8"/>
  </w:num>
  <w:num w:numId="16">
    <w:abstractNumId w:val="10"/>
  </w:num>
  <w:num w:numId="17">
    <w:abstractNumId w:val="16"/>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3"/>
  </w:num>
  <w:num w:numId="23">
    <w:abstractNumId w:val="7"/>
  </w:num>
  <w:num w:numId="24">
    <w:abstractNumId w:val="15"/>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07C1F"/>
    <w:rsid w:val="00030FD0"/>
    <w:rsid w:val="00032DAC"/>
    <w:rsid w:val="00035345"/>
    <w:rsid w:val="000B4263"/>
    <w:rsid w:val="000E0563"/>
    <w:rsid w:val="000E5929"/>
    <w:rsid w:val="000F4031"/>
    <w:rsid w:val="000F67BD"/>
    <w:rsid w:val="00145443"/>
    <w:rsid w:val="001A42A5"/>
    <w:rsid w:val="001C68BC"/>
    <w:rsid w:val="00202562"/>
    <w:rsid w:val="00212A16"/>
    <w:rsid w:val="0023718C"/>
    <w:rsid w:val="002A1FEF"/>
    <w:rsid w:val="002F1993"/>
    <w:rsid w:val="002F4FAA"/>
    <w:rsid w:val="003364F5"/>
    <w:rsid w:val="00346455"/>
    <w:rsid w:val="00361897"/>
    <w:rsid w:val="00380CC0"/>
    <w:rsid w:val="00393E7D"/>
    <w:rsid w:val="003A0F8B"/>
    <w:rsid w:val="003B55AB"/>
    <w:rsid w:val="003F2061"/>
    <w:rsid w:val="003F5BA2"/>
    <w:rsid w:val="00402FE6"/>
    <w:rsid w:val="00403FDE"/>
    <w:rsid w:val="00435BC0"/>
    <w:rsid w:val="004413CE"/>
    <w:rsid w:val="00463B07"/>
    <w:rsid w:val="00477281"/>
    <w:rsid w:val="00477A12"/>
    <w:rsid w:val="004811CC"/>
    <w:rsid w:val="004912BD"/>
    <w:rsid w:val="004A2283"/>
    <w:rsid w:val="004A7D46"/>
    <w:rsid w:val="004B06D1"/>
    <w:rsid w:val="004C3DCA"/>
    <w:rsid w:val="004C503B"/>
    <w:rsid w:val="004E7674"/>
    <w:rsid w:val="00515077"/>
    <w:rsid w:val="00515CE9"/>
    <w:rsid w:val="00565E7B"/>
    <w:rsid w:val="005670FA"/>
    <w:rsid w:val="00593BF2"/>
    <w:rsid w:val="005D0AEA"/>
    <w:rsid w:val="005D6649"/>
    <w:rsid w:val="005E21F7"/>
    <w:rsid w:val="0060787E"/>
    <w:rsid w:val="00646E5E"/>
    <w:rsid w:val="0068517E"/>
    <w:rsid w:val="00693195"/>
    <w:rsid w:val="006E42A4"/>
    <w:rsid w:val="006E5078"/>
    <w:rsid w:val="00716711"/>
    <w:rsid w:val="007338C4"/>
    <w:rsid w:val="007945E9"/>
    <w:rsid w:val="007D1608"/>
    <w:rsid w:val="00805212"/>
    <w:rsid w:val="00810985"/>
    <w:rsid w:val="00815357"/>
    <w:rsid w:val="008361B9"/>
    <w:rsid w:val="00845037"/>
    <w:rsid w:val="0085080B"/>
    <w:rsid w:val="00861CD0"/>
    <w:rsid w:val="00870613"/>
    <w:rsid w:val="00874952"/>
    <w:rsid w:val="0087761D"/>
    <w:rsid w:val="0090586C"/>
    <w:rsid w:val="009154DF"/>
    <w:rsid w:val="00943A9C"/>
    <w:rsid w:val="00955E86"/>
    <w:rsid w:val="009829A4"/>
    <w:rsid w:val="00992B6E"/>
    <w:rsid w:val="009A3A1F"/>
    <w:rsid w:val="009A3D0D"/>
    <w:rsid w:val="00A27375"/>
    <w:rsid w:val="00A42A54"/>
    <w:rsid w:val="00A42DA6"/>
    <w:rsid w:val="00A65B50"/>
    <w:rsid w:val="00A74B9F"/>
    <w:rsid w:val="00A94ED5"/>
    <w:rsid w:val="00B613A7"/>
    <w:rsid w:val="00B63F77"/>
    <w:rsid w:val="00BA5C73"/>
    <w:rsid w:val="00BC47AA"/>
    <w:rsid w:val="00BD5CD0"/>
    <w:rsid w:val="00BF69AB"/>
    <w:rsid w:val="00C13937"/>
    <w:rsid w:val="00C163A9"/>
    <w:rsid w:val="00C557F5"/>
    <w:rsid w:val="00C649EC"/>
    <w:rsid w:val="00C872BE"/>
    <w:rsid w:val="00C95A88"/>
    <w:rsid w:val="00C97E5B"/>
    <w:rsid w:val="00CD1D48"/>
    <w:rsid w:val="00CE69E4"/>
    <w:rsid w:val="00D0039E"/>
    <w:rsid w:val="00D25D26"/>
    <w:rsid w:val="00D37B60"/>
    <w:rsid w:val="00D50A57"/>
    <w:rsid w:val="00DC28FE"/>
    <w:rsid w:val="00DC4B4E"/>
    <w:rsid w:val="00E22A85"/>
    <w:rsid w:val="00E3609C"/>
    <w:rsid w:val="00E41759"/>
    <w:rsid w:val="00E65192"/>
    <w:rsid w:val="00E9004C"/>
    <w:rsid w:val="00EE736D"/>
    <w:rsid w:val="00EF233D"/>
    <w:rsid w:val="00EF5F3C"/>
    <w:rsid w:val="00F11758"/>
    <w:rsid w:val="00F42946"/>
    <w:rsid w:val="00F51DE2"/>
    <w:rsid w:val="00F605C4"/>
    <w:rsid w:val="00F67724"/>
    <w:rsid w:val="00F77F7F"/>
    <w:rsid w:val="00FA6EF1"/>
    <w:rsid w:val="00FB382F"/>
    <w:rsid w:val="00FC289A"/>
    <w:rsid w:val="00FC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BC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00612">
      <w:bodyDiv w:val="1"/>
      <w:marLeft w:val="0"/>
      <w:marRight w:val="0"/>
      <w:marTop w:val="0"/>
      <w:marBottom w:val="0"/>
      <w:divBdr>
        <w:top w:val="none" w:sz="0" w:space="0" w:color="auto"/>
        <w:left w:val="none" w:sz="0" w:space="0" w:color="auto"/>
        <w:bottom w:val="none" w:sz="0" w:space="0" w:color="auto"/>
        <w:right w:val="none" w:sz="0" w:space="0" w:color="auto"/>
      </w:divBdr>
    </w:div>
    <w:div w:id="625239722">
      <w:bodyDiv w:val="1"/>
      <w:marLeft w:val="0"/>
      <w:marRight w:val="0"/>
      <w:marTop w:val="0"/>
      <w:marBottom w:val="0"/>
      <w:divBdr>
        <w:top w:val="none" w:sz="0" w:space="0" w:color="auto"/>
        <w:left w:val="none" w:sz="0" w:space="0" w:color="auto"/>
        <w:bottom w:val="none" w:sz="0" w:space="0" w:color="auto"/>
        <w:right w:val="none" w:sz="0" w:space="0" w:color="auto"/>
      </w:divBdr>
    </w:div>
    <w:div w:id="908271880">
      <w:bodyDiv w:val="1"/>
      <w:marLeft w:val="0"/>
      <w:marRight w:val="0"/>
      <w:marTop w:val="0"/>
      <w:marBottom w:val="0"/>
      <w:divBdr>
        <w:top w:val="none" w:sz="0" w:space="0" w:color="auto"/>
        <w:left w:val="none" w:sz="0" w:space="0" w:color="auto"/>
        <w:bottom w:val="none" w:sz="0" w:space="0" w:color="auto"/>
        <w:right w:val="none" w:sz="0" w:space="0" w:color="auto"/>
      </w:divBdr>
    </w:div>
    <w:div w:id="1329096047">
      <w:bodyDiv w:val="1"/>
      <w:marLeft w:val="0"/>
      <w:marRight w:val="0"/>
      <w:marTop w:val="0"/>
      <w:marBottom w:val="0"/>
      <w:divBdr>
        <w:top w:val="none" w:sz="0" w:space="0" w:color="auto"/>
        <w:left w:val="none" w:sz="0" w:space="0" w:color="auto"/>
        <w:bottom w:val="none" w:sz="0" w:space="0" w:color="auto"/>
        <w:right w:val="none" w:sz="0" w:space="0" w:color="auto"/>
      </w:divBdr>
    </w:div>
    <w:div w:id="1995058619">
      <w:bodyDiv w:val="1"/>
      <w:marLeft w:val="0"/>
      <w:marRight w:val="0"/>
      <w:marTop w:val="0"/>
      <w:marBottom w:val="0"/>
      <w:divBdr>
        <w:top w:val="none" w:sz="0" w:space="0" w:color="auto"/>
        <w:left w:val="none" w:sz="0" w:space="0" w:color="auto"/>
        <w:bottom w:val="none" w:sz="0" w:space="0" w:color="auto"/>
        <w:right w:val="none" w:sz="0" w:space="0" w:color="auto"/>
      </w:divBdr>
    </w:div>
    <w:div w:id="21214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2021-09-02T19:18:00Z</cp:lastPrinted>
  <dcterms:created xsi:type="dcterms:W3CDTF">2022-03-01T17:18:00Z</dcterms:created>
  <dcterms:modified xsi:type="dcterms:W3CDTF">2022-03-01T17:18:00Z</dcterms:modified>
</cp:coreProperties>
</file>